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/>
        <w:ind w:left="-142"/>
        <w:jc w:val="center"/>
        <w:outlineLvl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МИНИСТЕРСТВО НАУКИ И ВЫСШЕГО ОБРАЗОВАНИЯ РОССИЙСКОЙ ФЕДЕРАЦИИ</w:t>
      </w:r>
    </w:p>
    <w:p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>
        <w:rPr>
          <w:b/>
          <w:bCs/>
          <w:color w:val="000000" w:themeColor="text1"/>
          <w:sz w:val="28"/>
          <w:szCs w:val="28"/>
        </w:rPr>
        <w:br w:type="textWrapping"/>
      </w:r>
      <w:r>
        <w:rPr>
          <w:b/>
          <w:bCs/>
          <w:color w:val="000000" w:themeColor="text1"/>
          <w:sz w:val="28"/>
          <w:szCs w:val="28"/>
        </w:rPr>
        <w:t xml:space="preserve"> «ДОНСКОЙ ГОСУДАРСТВЕННЫЙ ТЕХНИЧЕСКИЙ УНИВЕРСИТЕТ»</w:t>
      </w:r>
    </w:p>
    <w:p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(ОЦЕНОЧНЫЕ СРЕДСТВА)</w:t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проведения текущего контроля и промежуточной аттестации</w:t>
      </w:r>
    </w:p>
    <w:p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«СТРАХОВОЕ ДЕЛО НА ТРАНСПОРТЕ»</w:t>
      </w:r>
    </w:p>
    <w:p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для обучающихся по направлению подготовки (специальности)</w:t>
      </w:r>
    </w:p>
    <w:p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23.04.03 Эксплуатация транспортно-технологических машин и комплексов</w:t>
      </w:r>
    </w:p>
    <w:p>
      <w:pPr>
        <w:jc w:val="center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программа Эксплуатация и ремонт автотранспортных средств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2023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>
      <w:pPr>
        <w:spacing w:line="1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</w:p>
    <w:p>
      <w:pPr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Страховое дело на транспорте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>
      <w:pPr>
        <w:jc w:val="center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23.04.03 Эксплуатация транспортно-технологических машин и комплексов</w:t>
      </w:r>
      <w:r>
        <w:rPr>
          <w:sz w:val="28"/>
          <w:szCs w:val="28"/>
          <w:u w:val="single"/>
        </w:rPr>
        <w:t>,</w:t>
      </w:r>
    </w:p>
    <w:p>
      <w:pPr>
        <w:pStyle w:val="1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(код направления (специальности), наименование)</w:t>
      </w:r>
    </w:p>
    <w:p>
      <w:pPr>
        <w:pStyle w:val="13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Рассмотрены и одобрены на заседании кафедры «Эксплуатация транспортных систем и логистика» протокол № 24 от «10» июня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p>
      <w:pPr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Разработчики оценочных материалов (оценочных средств)</w:t>
      </w:r>
    </w:p>
    <w:p>
      <w:pPr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Доцент </w:t>
      </w:r>
      <w:r>
        <w:rPr>
          <w:color w:val="000000" w:themeColor="text1"/>
          <w:sz w:val="28"/>
          <w:szCs w:val="28"/>
        </w:rPr>
        <w:t xml:space="preserve">                                ___________________ Егельская Е.В.</w:t>
      </w:r>
    </w:p>
    <w:p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</w:rPr>
        <w:t>подпись</w:t>
      </w:r>
    </w:p>
    <w:p>
      <w:pPr>
        <w:ind w:left="4248"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«01» июня </w:t>
      </w:r>
      <w:r>
        <w:rPr>
          <w:color w:val="000000" w:themeColor="text1"/>
          <w:sz w:val="28"/>
          <w:szCs w:val="28"/>
          <w:lang w:val="ru-RU"/>
        </w:rPr>
        <w:t>2023</w:t>
      </w:r>
      <w:r>
        <w:rPr>
          <w:color w:val="000000" w:themeColor="text1"/>
          <w:sz w:val="28"/>
          <w:szCs w:val="28"/>
        </w:rPr>
        <w:t xml:space="preserve"> г.</w:t>
      </w:r>
    </w:p>
    <w:p>
      <w:pPr>
        <w:ind w:left="4248" w:firstLine="708"/>
        <w:rPr>
          <w:color w:val="000000" w:themeColor="text1"/>
          <w:sz w:val="28"/>
          <w:szCs w:val="28"/>
        </w:rPr>
      </w:pPr>
    </w:p>
    <w:tbl>
      <w:tblPr>
        <w:tblStyle w:val="12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Доцент</w:t>
            </w:r>
          </w:p>
        </w:tc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Исаев А.Г.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«01» июня 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2023</w:t>
            </w:r>
            <w:r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>
      <w:pPr>
        <w:rPr>
          <w:color w:val="000000" w:themeColor="text1"/>
          <w:sz w:val="28"/>
          <w:szCs w:val="28"/>
        </w:rPr>
      </w:pPr>
    </w:p>
    <w:tbl>
      <w:tblPr>
        <w:tblStyle w:val="12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Заведующий кафедрой</w:t>
            </w:r>
          </w:p>
        </w:tc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Короткий А.А.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«10» июня 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2023</w:t>
            </w:r>
            <w:r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>
      <w:pPr>
        <w:rPr>
          <w:color w:val="000000" w:themeColor="text1"/>
          <w:sz w:val="28"/>
          <w:szCs w:val="28"/>
        </w:rPr>
      </w:pP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</w:t>
      </w:r>
    </w:p>
    <w:tbl>
      <w:tblPr>
        <w:tblStyle w:val="12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Согласовано:</w:t>
            </w:r>
          </w:p>
        </w:tc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 </w:t>
            </w:r>
          </w:p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ИКЦ "Мысль"</w:t>
            </w:r>
          </w:p>
        </w:tc>
        <w:tc>
          <w:tcPr>
            <w:tcW w:w="3190" w:type="dxa"/>
            <w:vAlign w:val="bottom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  <w:vAlign w:val="bottom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 Б.И.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«30» июня 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2023</w:t>
            </w:r>
            <w:r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        </w:t>
      </w:r>
    </w:p>
    <w:p>
      <w:pPr>
        <w:ind w:left="4248" w:firstLine="708"/>
        <w:rPr>
          <w:color w:val="000000" w:themeColor="text1"/>
          <w:sz w:val="28"/>
          <w:szCs w:val="28"/>
        </w:rPr>
      </w:pPr>
    </w:p>
    <w:tbl>
      <w:tblPr>
        <w:tblStyle w:val="12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Технический директор </w:t>
            </w:r>
          </w:p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ООО «Нейс-Юг»</w:t>
            </w:r>
          </w:p>
        </w:tc>
        <w:tc>
          <w:tcPr>
            <w:tcW w:w="3190" w:type="dxa"/>
            <w:vAlign w:val="bottom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</w:t>
            </w:r>
          </w:p>
        </w:tc>
        <w:tc>
          <w:tcPr>
            <w:tcW w:w="3191" w:type="dxa"/>
            <w:vAlign w:val="bottom"/>
          </w:tcPr>
          <w:p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Янев Ю.Н</w:t>
            </w:r>
            <w:r>
              <w:rPr>
                <w:color w:val="000000" w:themeColor="text1"/>
                <w:sz w:val="19"/>
                <w:szCs w:val="19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</w:rPr>
              <w:t>подпись</w:t>
            </w:r>
          </w:p>
        </w:tc>
        <w:tc>
          <w:tcPr>
            <w:tcW w:w="3191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</w:tcPr>
          <w:p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«30» июня 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2023</w:t>
            </w:r>
            <w:r>
              <w:rPr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>
      <w:pPr>
        <w:ind w:left="4248" w:firstLine="708"/>
        <w:rPr>
          <w:color w:val="000000" w:themeColor="text1"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tbl>
      <w:tblPr>
        <w:tblStyle w:val="11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6"/>
        <w:gridCol w:w="6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1.1 </w:t>
            </w:r>
            <w:r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pStyle w:val="7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68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Паспорт оценочных материалов (оценочных средств)</w:t>
      </w:r>
    </w:p>
    <w:p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>
      <w:pPr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>
      <w:pPr>
        <w:spacing w:line="360" w:lineRule="auto"/>
        <w:ind w:firstLine="420"/>
        <w:jc w:val="both"/>
        <w:rPr>
          <w:sz w:val="28"/>
          <w:szCs w:val="28"/>
        </w:rPr>
      </w:pPr>
    </w:p>
    <w:p>
      <w:pPr>
        <w:pStyle w:val="1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>
      <w:pPr>
        <w:pStyle w:val="13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компетенций, формируемых в процессе изучения дисциплины: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ПК-2 </w:t>
      </w:r>
      <w:r>
        <w:fldChar w:fldCharType="begin"/>
      </w:r>
      <w:r>
        <w:instrText xml:space="preserve"> HYPERLINK "https://profstandart.rosmintrud.ru/obshchiy-informatsionnyy-blok/natsionalnyy-reestr-professionalnykh-standartov/reestr-trudovyh-funkcij/index.php?ELEMENT_ID=109901&amp;CODE=109901" </w:instrText>
      </w:r>
      <w:r>
        <w:fldChar w:fldCharType="separate"/>
      </w:r>
      <w:r>
        <w:rPr>
          <w:sz w:val="24"/>
          <w:szCs w:val="24"/>
        </w:rPr>
        <w:t>Организация и проведение оценки соответствия, входного контроля, испытаний и приемки продукции</w:t>
      </w:r>
      <w:r>
        <w:rPr>
          <w:sz w:val="24"/>
          <w:szCs w:val="24"/>
        </w:rPr>
        <w:fldChar w:fldCharType="end"/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ПК-2.1 Организация контроля и испытаний изготавливаемой продукции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ПК-2.2 Взаимодействие со структурными подразделениями организации по вопросам повышения качества изготавливаемой продукции</w:t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ПК-3 </w:t>
      </w:r>
      <w:r>
        <w:fldChar w:fldCharType="begin"/>
      </w:r>
      <w:r>
        <w:instrText xml:space="preserve"> HYPERLINK "https://profstandart.rosmintrud.ru/obshchiy-informatsionnyy-blok/natsionalnyy-reestr-professionalnykh-standartov/reestr-trudovyh-funkcij/index.php?ELEMENT_ID=109903&amp;CODE=109903" </w:instrText>
      </w:r>
      <w:r>
        <w:fldChar w:fldCharType="separate"/>
      </w:r>
      <w:r>
        <w:rPr>
          <w:sz w:val="24"/>
          <w:szCs w:val="24"/>
        </w:rPr>
        <w:t>Функциональное руководство работниками подразделения технического контроля</w:t>
      </w:r>
      <w:r>
        <w:rPr>
          <w:sz w:val="24"/>
          <w:szCs w:val="24"/>
        </w:rPr>
        <w:fldChar w:fldCharType="end"/>
      </w:r>
    </w:p>
    <w:p>
      <w:pPr>
        <w:ind w:firstLine="709"/>
        <w:rPr>
          <w:sz w:val="24"/>
          <w:szCs w:val="24"/>
        </w:rPr>
      </w:pPr>
      <w:r>
        <w:rPr>
          <w:sz w:val="24"/>
          <w:szCs w:val="24"/>
        </w:rPr>
        <w:t>ПК-3.1 Планирование деятельности структурного подразделения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ПК-3.2 Организация взаимодействия работников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 контактной работы, включающей различные виды занятий и самостоятельной работы, с применением различных форм и методов обучения (табл. 1).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 ‒ Формирование компетенций в процессе изучения дисциплины</w:t>
      </w:r>
    </w:p>
    <w:tbl>
      <w:tblPr>
        <w:tblStyle w:val="11"/>
        <w:tblW w:w="15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1381"/>
        <w:gridCol w:w="3710"/>
        <w:gridCol w:w="2045"/>
        <w:gridCol w:w="1984"/>
        <w:gridCol w:w="2535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компетенции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освоения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Дескрипторы компетенции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04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Вид учебных занятий, работы</w:t>
            </w:r>
            <w:r>
              <w:rPr>
                <w:rStyle w:val="9"/>
                <w:color w:val="000000"/>
                <w:sz w:val="18"/>
                <w:szCs w:val="18"/>
              </w:rPr>
              <w:footnoteReference w:id="0"/>
            </w:r>
            <w:r>
              <w:rPr>
                <w:color w:val="000000"/>
                <w:sz w:val="18"/>
                <w:szCs w:val="18"/>
              </w:rPr>
              <w:t>,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формы и методы обучения, способствующие формированию и развитию компетенции</w:t>
            </w:r>
            <w:r>
              <w:rPr>
                <w:rStyle w:val="9"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Контролируемые разделы и темы дисциплины</w:t>
            </w:r>
            <w:r>
              <w:rPr>
                <w:rStyle w:val="9"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253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185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Критерии оценивания компетенций</w:t>
            </w:r>
            <w:r>
              <w:rPr>
                <w:rStyle w:val="9"/>
                <w:color w:val="000000"/>
                <w:sz w:val="18"/>
                <w:szCs w:val="18"/>
              </w:rPr>
              <w:footnote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restart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ПК-2.1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1.1, 1.2, 1.3, 1.4, 2.1, 2.2, 2.3, 2.4, 3.1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Отдельные методы планирования управленческой деятельности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Отдельные методы планирования, организации и контроля управленческой деятельности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tabs>
                <w:tab w:val="center" w:pos="187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Методы планирования, организации и контроля управленческой деятельности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Организовывать производственно-управленческую деятельность плохо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Организовывать производственно-управленческую деятельность недостаточно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Организовывать производственно-управленческую деятельность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Отдельными навыками совершенствования производства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Отдельными навыками совершенствования производства и внедрения новых техники и технологии в структурных подразделениях организации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Навыками совершенствования производства и внедрения новых техники и технологии в структурных подразделениях организации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56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ПК-2.2.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1.1, 1.2, 1.3, 1.4, 2.1, 2.2, 2.3, 2.4, 3.1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Отдельные методы разрешения конфликтных ситуаций недостаточно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Отдельные методы разрешения конфликтных ситуаций в целом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Методы разрешения конфликтных ситуаций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Взаимодействовать со структурными подразделениями организации плохо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 недостаточно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Отдельными навыками эффективность работы структурных подразделений недостаточно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Отдельными навыками эффективность работы структурных подразделений в целом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Навыками эффективность работы структурных подразделений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56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ПК-3.1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1.1, 1.2, 1.3, 1.4, 2.1, 2.2, 2.3, 2.4, 3.1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методы планирования производственной деятельности недостаточно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методы планирования производственной деятельности в целом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Методы планирования производственной деятельности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 плохо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 недостаточно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jc w:val="center"/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ind w:firstLine="708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эффективность работы структурных подразделений недостаточно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эффективность работы структурных подразделений в целом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эффективность работы структурных подразделений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ПК-3.2.</w:t>
            </w: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1.1, 1.2, 1.3, 1.4, 2.1, 2.2, 2.3, 2.4, 3.1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методы планирования производственной деятельности недостаточно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методы планирования производственной деятельности в целом осознано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Методы планирования производственной деятельности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Распределять производственные задания между сотрудниками в соответствии с уровнем их квалификации плохо продумано</w:t>
            </w: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1.1, 1.2, 1.3, 1.4, 2.1, 2.2, 2.3, 2.4, 3.1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Распределять производственные задания между сотрудниками в соответствии с уровнем их квалификации недостаточно продумано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Распределять производственные задания между сотрудниками в соответствии с уровнем их квалификации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работы с инновационными проектами</w:t>
            </w:r>
          </w:p>
        </w:tc>
        <w:tc>
          <w:tcPr>
            <w:tcW w:w="204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Практическая работа,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1.1, 1.2, 1.3, 1.4, 2.1, 2.2, 2.3, 2.4, 3.1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работы с инновационными проектами, используя базовые методы исследовательской деятельности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работы с инновационными проектами, используя базовые методы исследовательской деятельности</w:t>
            </w:r>
          </w:p>
        </w:tc>
        <w:tc>
          <w:tcPr>
            <w:tcW w:w="204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/>
    <w:p>
      <w:pPr>
        <w:sectPr>
          <w:pgSz w:w="16838" w:h="11906" w:orient="landscape"/>
          <w:pgMar w:top="1276" w:right="1134" w:bottom="850" w:left="1134" w:header="708" w:footer="708" w:gutter="0"/>
          <w:cols w:space="708" w:num="1"/>
          <w:docGrid w:linePitch="360" w:charSpace="0"/>
        </w:sectPr>
      </w:pPr>
    </w:p>
    <w:p>
      <w:pPr>
        <w:pStyle w:val="13"/>
        <w:numPr>
          <w:ilvl w:val="1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>
      <w:pPr>
        <w:rPr>
          <w:sz w:val="24"/>
          <w:szCs w:val="24"/>
        </w:rPr>
      </w:pP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дисциплине «</w:t>
      </w:r>
      <w:r>
        <w:rPr>
          <w:color w:val="000000"/>
          <w:sz w:val="24"/>
          <w:szCs w:val="24"/>
        </w:rPr>
        <w:t>Страховое дело на транспорте»</w:t>
      </w:r>
      <w:r>
        <w:rPr>
          <w:sz w:val="24"/>
          <w:szCs w:val="24"/>
        </w:rPr>
        <w:t xml:space="preserve">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>
        <w:rPr>
          <w:rFonts w:ascii="Times New Roman" w:hAnsi="Times New Roman" w:eastAsia="Times New Roman"/>
          <w:sz w:val="24"/>
          <w:szCs w:val="24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Текущий контроль осуществляется два раза в семестр по календарному графику учебного процесса.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Текущий контроль предполагает начисление баллов за выполнение различных видов работ. </w:t>
      </w:r>
      <w:r>
        <w:rPr>
          <w:rFonts w:ascii="Times New Roman" w:hAnsi="Times New Roman"/>
          <w:sz w:val="24"/>
          <w:szCs w:val="24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>
      <w:pPr>
        <w:pStyle w:val="13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>
      <w:pPr>
        <w:pStyle w:val="1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Промежуточная аттестация по дисциплине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Страховое дело на транспорте»</w:t>
      </w:r>
      <w:r>
        <w:rPr>
          <w:rFonts w:ascii="Times New Roman" w:hAnsi="Times New Roman" w:eastAsia="Times New Roman"/>
          <w:sz w:val="24"/>
          <w:szCs w:val="24"/>
        </w:rPr>
        <w:t xml:space="preserve"> проводится в форме зачёта. </w:t>
      </w:r>
    </w:p>
    <w:p>
      <w:pPr>
        <w:pStyle w:val="1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>
      <w:pPr>
        <w:rPr>
          <w:sz w:val="24"/>
          <w:szCs w:val="24"/>
        </w:rPr>
      </w:pPr>
    </w:p>
    <w:p/>
    <w:p/>
    <w:p/>
    <w:p/>
    <w:p/>
    <w:p/>
    <w:p/>
    <w:p/>
    <w:p/>
    <w:p>
      <w:pPr>
        <w:sectPr>
          <w:pgSz w:w="11906" w:h="16838"/>
          <w:pgMar w:top="1134" w:right="849" w:bottom="1134" w:left="1276" w:header="708" w:footer="708" w:gutter="0"/>
          <w:cols w:space="708" w:num="1"/>
          <w:docGrid w:linePitch="360" w:charSpace="0"/>
        </w:sect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 ‒ Весовое распределение баллов и шкала оценивания по видам контрольных мероприятий</w:t>
      </w:r>
    </w:p>
    <w:p>
      <w:pPr>
        <w:ind w:firstLine="709"/>
        <w:jc w:val="both"/>
        <w:rPr>
          <w:i/>
          <w:color w:val="FF0000"/>
          <w:sz w:val="28"/>
          <w:szCs w:val="28"/>
        </w:rPr>
      </w:pPr>
    </w:p>
    <w:tbl>
      <w:tblPr>
        <w:tblStyle w:val="11"/>
        <w:tblW w:w="14600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3"/>
        <w:gridCol w:w="1693"/>
        <w:gridCol w:w="1748"/>
        <w:gridCol w:w="1542"/>
        <w:gridCol w:w="1693"/>
        <w:gridCol w:w="1748"/>
        <w:gridCol w:w="2002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7" w:type="dxa"/>
            <w:gridSpan w:val="6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Текущий контроль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(50 баллов</w:t>
            </w:r>
            <w:r>
              <w:rPr>
                <w:rStyle w:val="9"/>
                <w:sz w:val="26"/>
                <w:szCs w:val="26"/>
              </w:rPr>
              <w:footnoteReference w:id="4"/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002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Промежуточная аттестация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(50 баллов)</w:t>
            </w:r>
          </w:p>
        </w:tc>
        <w:tc>
          <w:tcPr>
            <w:tcW w:w="2631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4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1</w:t>
            </w:r>
          </w:p>
        </w:tc>
        <w:tc>
          <w:tcPr>
            <w:tcW w:w="4983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2</w:t>
            </w:r>
          </w:p>
        </w:tc>
        <w:tc>
          <w:tcPr>
            <w:tcW w:w="2002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31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Лекционные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1)</w:t>
            </w:r>
          </w:p>
        </w:tc>
        <w:tc>
          <w:tcPr>
            <w:tcW w:w="16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Практические 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174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Самостоятельная работа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>1</w:t>
            </w:r>
            <w:r>
              <w:t>)</w:t>
            </w:r>
          </w:p>
        </w:tc>
        <w:tc>
          <w:tcPr>
            <w:tcW w:w="154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Лекционные занятия (</w:t>
            </w:r>
            <w:r>
              <w:rPr>
                <w:lang w:val="en-US"/>
              </w:rPr>
              <w:t>X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16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Практические занятия (</w:t>
            </w:r>
            <w:r>
              <w:rPr>
                <w:lang w:val="en-US"/>
              </w:rPr>
              <w:t>Y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174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Самостоятельная работа (</w:t>
            </w:r>
            <w:r>
              <w:rPr>
                <w:lang w:val="en-US"/>
              </w:rPr>
              <w:t>Z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2002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2631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Менее 61 балла – </w:t>
            </w:r>
            <w:r>
              <w:rPr>
                <w:sz w:val="26"/>
                <w:szCs w:val="26"/>
              </w:rPr>
              <w:br w:type="textWrapping"/>
            </w:r>
            <w:r>
              <w:rPr>
                <w:sz w:val="26"/>
                <w:szCs w:val="26"/>
              </w:rPr>
              <w:t xml:space="preserve">не зачтено;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Более 61 балла - 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4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4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6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4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002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31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4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баллов за 1 блок = </w:t>
            </w: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  <w:vertAlign w:val="subscript"/>
              </w:rPr>
              <w:t>1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Y</w:t>
            </w:r>
            <w:r>
              <w:rPr>
                <w:sz w:val="26"/>
                <w:szCs w:val="26"/>
                <w:vertAlign w:val="subscript"/>
              </w:rPr>
              <w:t>1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4983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баллов за 2 блок = </w:t>
            </w: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Y</w:t>
            </w:r>
            <w:r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002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31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>
      <w:pPr>
        <w:ind w:firstLine="709"/>
        <w:jc w:val="both"/>
        <w:rPr>
          <w:i/>
          <w:color w:val="FF0000"/>
          <w:sz w:val="26"/>
          <w:szCs w:val="26"/>
        </w:rPr>
      </w:pPr>
    </w:p>
    <w:p>
      <w:pPr>
        <w:rPr>
          <w:i/>
          <w:color w:val="FF0000"/>
          <w:sz w:val="26"/>
          <w:szCs w:val="26"/>
        </w:rPr>
        <w:sectPr>
          <w:pgSz w:w="16838" w:h="11906" w:orient="landscape"/>
          <w:pgMar w:top="849" w:right="1134" w:bottom="1276" w:left="1134" w:header="708" w:footer="708" w:gutter="0"/>
          <w:cols w:space="708" w:num="1"/>
          <w:docGrid w:linePitch="360" w:charSpace="0"/>
        </w:sectPr>
      </w:pPr>
      <w:r>
        <w:rPr>
          <w:i/>
          <w:color w:val="FF0000"/>
          <w:sz w:val="26"/>
          <w:szCs w:val="26"/>
        </w:rPr>
        <w:br w:type="page"/>
      </w:r>
    </w:p>
    <w:p>
      <w:pPr>
        <w:ind w:right="-283" w:firstLine="708"/>
        <w:jc w:val="both"/>
        <w:rPr>
          <w:sz w:val="24"/>
          <w:szCs w:val="24"/>
        </w:rPr>
      </w:pPr>
      <w:r>
        <w:rPr>
          <w:sz w:val="24"/>
          <w:szCs w:val="24"/>
        </w:rPr>
        <w:t>Для определения фактических оценок каждого показателя выставляются следующие баллы (табл.3):</w:t>
      </w:r>
    </w:p>
    <w:p>
      <w:pPr>
        <w:ind w:right="-42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Таблица 3– Распределение баллов по дисциплине</w:t>
      </w:r>
    </w:p>
    <w:tbl>
      <w:tblPr>
        <w:tblStyle w:val="11"/>
        <w:tblW w:w="9497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2976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  <w:vMerge w:val="restart"/>
          </w:tcPr>
          <w:p>
            <w:pPr>
              <w:pStyle w:val="17"/>
              <w:jc w:val="center"/>
              <w:rPr>
                <w:sz w:val="20"/>
              </w:rPr>
            </w:pPr>
            <w:r>
              <w:rPr>
                <w:sz w:val="20"/>
              </w:rPr>
              <w:t>Вид учебных работ по дисциплине</w:t>
            </w:r>
          </w:p>
        </w:tc>
        <w:tc>
          <w:tcPr>
            <w:tcW w:w="4961" w:type="dxa"/>
            <w:gridSpan w:val="2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Количество баллов</w:t>
            </w:r>
          </w:p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  <w:vMerge w:val="continue"/>
          </w:tcPr>
          <w:p>
            <w:pPr>
              <w:pStyle w:val="17"/>
              <w:ind w:firstLine="0"/>
              <w:jc w:val="center"/>
              <w:rPr>
                <w:sz w:val="20"/>
              </w:rPr>
            </w:pPr>
          </w:p>
        </w:tc>
        <w:tc>
          <w:tcPr>
            <w:tcW w:w="2976" w:type="dxa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 блок</w:t>
            </w:r>
          </w:p>
        </w:tc>
        <w:tc>
          <w:tcPr>
            <w:tcW w:w="1985" w:type="dxa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97" w:type="dxa"/>
            <w:gridSpan w:val="3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Текущий контроль (50 баллов)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</w:p>
        </w:tc>
        <w:tc>
          <w:tcPr>
            <w:tcW w:w="1985" w:type="dxa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>Выполнение практических работ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1985" w:type="dxa"/>
          </w:tcPr>
          <w:p>
            <w:pPr>
              <w:pStyle w:val="17"/>
              <w:ind w:firstLine="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36" w:type="dxa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>Самостоятельная работа (подготовка к контрольным вопросам)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7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985" w:type="dxa"/>
          </w:tcPr>
          <w:p>
            <w:pPr>
              <w:pStyle w:val="17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" w:hRule="atLeast"/>
        </w:trPr>
        <w:tc>
          <w:tcPr>
            <w:tcW w:w="4536" w:type="dxa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>Реферат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497" w:type="dxa"/>
            <w:gridSpan w:val="3"/>
          </w:tcPr>
          <w:p>
            <w:pPr>
              <w:pStyle w:val="17"/>
              <w:ind w:firstLine="0"/>
              <w:jc w:val="center"/>
              <w:rPr>
                <w:b/>
                <w:sz w:val="20"/>
              </w:rPr>
            </w:pPr>
            <w:r>
              <w:rPr>
                <w:i/>
                <w:sz w:val="20"/>
              </w:rPr>
              <w:t>Промежуточная аттестация (50 баллов)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497" w:type="dxa"/>
            <w:gridSpan w:val="3"/>
          </w:tcPr>
          <w:p>
            <w:pPr>
              <w:pStyle w:val="17"/>
              <w:ind w:firstLine="0"/>
              <w:rPr>
                <w:sz w:val="20"/>
              </w:rPr>
            </w:pPr>
            <w:r>
              <w:rPr>
                <w:sz w:val="20"/>
              </w:rPr>
              <w:t>По дисциплине «</w:t>
            </w:r>
            <w:r>
              <w:rPr>
                <w:color w:val="000000"/>
                <w:sz w:val="20"/>
              </w:rPr>
              <w:t>Страховое дело на транспорте</w:t>
            </w:r>
            <w:r>
              <w:rPr>
                <w:sz w:val="20"/>
              </w:rPr>
              <w:t>» проводится промежуточная аттестация в форме зачета.</w:t>
            </w:r>
          </w:p>
          <w:p>
            <w:pPr>
              <w:ind w:firstLine="326"/>
              <w:jc w:val="both"/>
              <w:rPr>
                <w:i/>
              </w:rPr>
            </w:pPr>
            <w:r>
              <w:t>Комплект задаваемых на зачете вопросов включает в себя 2 вопроса.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20 баллов, за второй вопрос – 30 баллов.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497" w:type="dxa"/>
            <w:gridSpan w:val="3"/>
          </w:tcPr>
          <w:p>
            <w:pPr>
              <w:pStyle w:val="17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баллов по дисциплине 100 баллов</w:t>
            </w:r>
          </w:p>
        </w:tc>
      </w:tr>
    </w:tbl>
    <w:p/>
    <w:p>
      <w:pPr>
        <w:pStyle w:val="17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Устная форма промежуточной аттестации. 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«незачтено».</w:t>
      </w:r>
    </w:p>
    <w:p>
      <w:pPr>
        <w:ind w:firstLine="326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 xml:space="preserve">Оценка «зачтено» выставляется на зачете </w:t>
      </w:r>
      <w:r>
        <w:rPr>
          <w:rFonts w:eastAsia="Calibri"/>
          <w:sz w:val="24"/>
          <w:szCs w:val="24"/>
          <w:lang w:eastAsia="en-US"/>
        </w:rPr>
        <w:t>обучающимся</w:t>
      </w:r>
      <w:r>
        <w:rPr>
          <w:rFonts w:eastAsia="Calibri"/>
          <w:i/>
          <w:sz w:val="24"/>
          <w:szCs w:val="24"/>
          <w:lang w:eastAsia="en-US"/>
        </w:rPr>
        <w:t>, если: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на дополнительные вопросы преподавателя обучающийся дал правильные или частично правильные ответы;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Компетенция (и) или ее часть (и) сформированы на базовом уровне (уровень 1) (см. табл. 1).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Оценка «не зачтено» ставится на зачете обучающийся, если:</w:t>
      </w:r>
    </w:p>
    <w:p>
      <w:pPr>
        <w:ind w:firstLine="326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</w:t>
      </w:r>
      <w:r>
        <w:rPr>
          <w:bCs/>
          <w:sz w:val="24"/>
          <w:szCs w:val="24"/>
        </w:rPr>
        <w:t>навыками самостоятельного приобретения новых знаний, непосредственно не связанных со сферой деятельности, с помощью информационных технологий; методикой освоения интеллектуальных и общекультурных ценностей</w:t>
      </w:r>
      <w:r>
        <w:rPr>
          <w:rFonts w:eastAsia="Calibri"/>
          <w:color w:val="000000" w:themeColor="text1"/>
          <w:sz w:val="24"/>
          <w:szCs w:val="24"/>
          <w:lang w:eastAsia="en-US"/>
        </w:rPr>
        <w:t>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имеются существенные пробелы в знании основного материала по программе курса;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 процессе ответа по теоретическому и практическому материалу, содержащемуся в вопросах зачетного билета, допущены принципиальные ошибки при изложении материала;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имеются систематические пропуски обучающийся лекционных, практических и лабораторных занятий по неуважительным причинам;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во время текущего контроля обучающийся набрал недостаточные для допуска к экзамену (зачету) баллы;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вовремя не подготовил отчет по практическим и лабораторным работам, предусмотренным РПД.</w:t>
      </w:r>
    </w:p>
    <w:p>
      <w:pPr>
        <w:ind w:firstLine="3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Компетенция(и) или ее часть (и) не сформированы.</w:t>
      </w:r>
    </w:p>
    <w:p>
      <w:pPr>
        <w:sectPr>
          <w:pgSz w:w="11906" w:h="16838"/>
          <w:pgMar w:top="1134" w:right="849" w:bottom="1134" w:left="1276" w:header="708" w:footer="708" w:gutter="0"/>
          <w:cols w:space="708" w:num="1"/>
          <w:docGrid w:linePitch="360" w:charSpace="0"/>
        </w:sectPr>
      </w:pPr>
    </w:p>
    <w:p>
      <w:pPr>
        <w:ind w:left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1.3 Методические материалы, определяющие процедуры оценивания знаний, умений, навыков и (или) опыта деятельности</w:t>
      </w:r>
    </w:p>
    <w:p>
      <w:pPr>
        <w:pStyle w:val="1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4"/>
          <w:szCs w:val="24"/>
        </w:rPr>
      </w:pPr>
    </w:p>
    <w:p>
      <w:pPr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Практические занятия</w:t>
      </w:r>
      <w:r>
        <w:rPr>
          <w:sz w:val="24"/>
          <w:szCs w:val="24"/>
        </w:rPr>
        <w:t xml:space="preserve"> являются одним из важнейших видов теоретического и практического обучения магистрантов. Целью практического занятия является углубленное изучение дисциплины, привитие обучающемуся навыков самостоятельного поиска и анализа учебной информации, формирование и развитие у него научного и профессионального мышления, умения активно участвовать в дискуссии, делать правильные выводы, аргументировано излагать и отстаивать свое мнение, развитие навыков применения полученных теоретических знаний в языковой практике изложения мыслей.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магистранта к практическому занятию осуществляется на основании плана раскрытия темы практического занятия, которое разрабатывается преподавателем на основе рабочей программы и доводится до сведения магистранта своевременно. При подготовке к практическому занятию студенту необходимо изучить внимательно основные вопросы темы семинара. Важным условием успешной подготовки к практическому занятию является четкая организация самостоятельной работы студентов по изучению учебной и дополнительной литературы. Умение анализировать и применять для ответов на вопросы и решения задач и заданий полученные знания при самостоятельной подготовке в значительной степени определяет успешность освоения материала по дисциплине и формирование у магистрантов соответствующих компетенций.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практических заданий рекомендуется: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– сначала внимательно прочитать само задание и методические указания по его выполнению и соотнести задание с пройденным материалом;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– повторить необходимые определения и правила.</w:t>
      </w:r>
    </w:p>
    <w:p>
      <w:pPr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Самостоятельная работа</w:t>
      </w:r>
      <w:r>
        <w:rPr>
          <w:sz w:val="24"/>
          <w:szCs w:val="24"/>
        </w:rPr>
        <w:t xml:space="preserve"> проводится с целью: систематизации и закрепления полученных теоретических знаний и практических умений обучающихся; углубления и расширения теоретических знаний магистрантов; формирования умений использовать нормативную, правовую, справочную документацию, учебную и специальную литературу; развития познавательных способностей и активности обучающихся: творческой инициативы, самостоятельности, ответственности, организованности; формирование самостоятельности мышления, способностей к саморазвитию, совершенствованию и самоорганизации; формирования общекультурных компетенций; развитию исследовательских умений магистрантов.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Формы и виды самостоятельной работы магистрантов: чтение основной и дополнительной литературы: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– самостоятельное изучение материала по рекомендуемым литературным источникам; работа с библиотечным каталогом, самостоятельный подбор необходимой литературы; работа со словарем, справочником; поиск необходимой информации в сети Интернет; конспектирование источников; реферирование источников; составление аннотаций к прочитанным литературным источникам; составление рецензий и отзывов на прочитанный материал; составление обзора публикаций по теме; составление и разработка терминологического словаря; подготовка к различным формам текущей и промежуточной аттестации (к тестированию, контрольной работе, зачету); выполнение домашних контрольных работ; самостоятельное выполнение практических заданий репродуктивного типа (ответы на вопросы, задачи, тесты; выполнение творческих заданий).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Технология организации самостоятельной работы обучающихся включает использование информационных и материально-технических ресурсов образовательного учреждения: библиотеку с читальным залом, укомплектованную в соответствии с существующими нормами; учебно-методическую базу учебных кабинетов, лабораторий и зала кодификации; компьютерные классы с возможностью работы в Интернет; аудитории (классы) для консультационной деятельности; учебную и учебно-методическую литературу, разработанную с учетом увеличения доли самостоятельной работы студентов, и иные методические материалы.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обучающимися внеаудиторной самостоятельной работы преподаватель проводит консультирование по выполнению задания, который включает цель задания, его содержания, сроки выполнения, ориентировочный объем работы, основные требования к результатам работы, критерии оценки.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 время выполнения обучающимися внеаудиторной самостоятельной работы и при необходимости преподаватель может проводить индивидуальные и групповые консультации. Самостоятельная работа может осуществляться индивидуально или группами обучающихся в зависимости от цели, объема, конкретной тематики самостоятельной работы, уровня сложности, уровня умений обучающихся.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Контроль самостоятельной работы магистрантов предусматривает: соотнесение содержания контроля с целями обучения; объективность контроля; валидность контроля (соответствие предъявляемых заданий тому, что предполагается проверить); дифференциацию контрольно-измерительных материалов.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Формы контроля самостоятельной работы: просмотр и проверка выполнения самостоятельной работы преподавателем; организация самопроверки, взаимопроверки выполненного задания в группе; обсуждение результатов выполненной работы на занятии; проведение письменного опроса; проведение устного опроса; организация и проведение индивидуального собеседования; организация и проведение собеседования с группой; защита отчетов о проделанной работе. </w:t>
      </w:r>
    </w:p>
    <w:p>
      <w:pPr>
        <w:ind w:firstLine="709"/>
        <w:jc w:val="both"/>
        <w:rPr>
          <w:rStyle w:val="20"/>
          <w:color w:val="auto"/>
        </w:rPr>
      </w:pPr>
      <w:r>
        <w:rPr>
          <w:rStyle w:val="20"/>
          <w:i/>
        </w:rPr>
        <w:t>Написание реферата</w:t>
      </w:r>
      <w:r>
        <w:rPr>
          <w:rStyle w:val="20"/>
        </w:rPr>
        <w:t xml:space="preserve"> - это одна из форм самостоятельной работы магистранта,предусмотренная рабочей программы по данной дисциплине и является промежуточнойаттестацией. Написание реферата является важным элементом процесса изучениялюбой </w:t>
      </w:r>
      <w:r>
        <w:rPr>
          <w:rStyle w:val="20"/>
          <w:color w:val="auto"/>
        </w:rPr>
        <w:t>учебной дисциплины. В начале семестра, при изучении дисциплины магистрантунеобходимо подготовить план сдачи рефератов, с указанием тематик рефератов, которыесоответствуют общей научной теме магистранта.В процессе написания реферата формируется умение работать с научной и учебнойлитературой; размышлять о прочитанном; определять главные идеи, утверждения иотделять их от второстепенных; разбираться в доказательствах, понимать логикуизложения и обоснованность выводов. Формируются первоначальные навыки письменноизлагать прочитанное, комментировать, обобщать, анализировать статистические данные,делать и аргументировать выводы, составлять и грамотно оформлять научный аппаратсвоей работы. То есть формируются навыки научной работы, исследовательские навыки,развиваются аналитические способности.</w:t>
      </w:r>
    </w:p>
    <w:p>
      <w:pPr>
        <w:ind w:firstLine="709"/>
        <w:jc w:val="both"/>
        <w:rPr>
          <w:rStyle w:val="21"/>
        </w:rPr>
      </w:pPr>
      <w:r>
        <w:rPr>
          <w:rStyle w:val="20"/>
          <w:color w:val="auto"/>
        </w:rPr>
        <w:t>Написание реферата выполняется под руководством преподавателя, ведущегодисциплину. Преподаватель помогает магистранту подобрать литературу по избраннойтеме, осуществляет консультирование и контроль за выполнением работы</w:t>
      </w:r>
      <w:r>
        <w:rPr>
          <w:rStyle w:val="20"/>
        </w:rPr>
        <w:t>.Реферат является самостоятельным творческим исследованием магистранта,предполагающим более глубокое овладение теоретическим материалом.Процесс написания реферата состоит из нескольких этапов:</w:t>
      </w:r>
      <w:r>
        <w:rPr>
          <w:rStyle w:val="21"/>
        </w:rPr>
        <w:t></w:t>
      </w:r>
    </w:p>
    <w:p>
      <w:pPr>
        <w:ind w:firstLine="709"/>
        <w:jc w:val="both"/>
        <w:rPr>
          <w:rStyle w:val="21"/>
        </w:rPr>
      </w:pPr>
      <w:r>
        <w:rPr>
          <w:rStyle w:val="21"/>
        </w:rPr>
        <w:sym w:font="Symbol" w:char="F0B7"/>
      </w:r>
      <w:r>
        <w:rPr>
          <w:rStyle w:val="21"/>
        </w:rPr>
        <w:t></w:t>
      </w:r>
      <w:r>
        <w:rPr>
          <w:rStyle w:val="22"/>
        </w:rPr>
        <w:t xml:space="preserve">выбор темы </w:t>
      </w:r>
      <w:r>
        <w:rPr>
          <w:rStyle w:val="20"/>
        </w:rPr>
        <w:t>осуществляется магистрантом самостоятельно из списка тем,рекомендованных настоящим учебно-методическим комплексом дисциплины, сучетом общей тематики диссертационного исследования магистранта, возможенвыбор темы, предложенной магистрантом в интересах его диссертационногоисследования;</w:t>
      </w:r>
      <w:r>
        <w:rPr>
          <w:rStyle w:val="21"/>
        </w:rPr>
        <w:t></w:t>
      </w:r>
    </w:p>
    <w:p>
      <w:pPr>
        <w:ind w:firstLine="709"/>
        <w:jc w:val="both"/>
        <w:rPr>
          <w:rStyle w:val="20"/>
          <w:color w:val="auto"/>
        </w:rPr>
      </w:pPr>
      <w:r>
        <w:rPr>
          <w:rStyle w:val="21"/>
        </w:rPr>
        <w:sym w:font="Symbol" w:char="F0B7"/>
      </w:r>
      <w:r>
        <w:rPr>
          <w:rStyle w:val="21"/>
        </w:rPr>
        <w:t></w:t>
      </w:r>
      <w:r>
        <w:rPr>
          <w:rStyle w:val="22"/>
        </w:rPr>
        <w:t xml:space="preserve">составление списка литературы и ее изучение. </w:t>
      </w:r>
      <w:r>
        <w:rPr>
          <w:rStyle w:val="20"/>
        </w:rPr>
        <w:t xml:space="preserve">При составлении спискалитературы следует обратиться к перечню литературы в рамках которого пишетсяреферат; </w:t>
      </w:r>
      <w:r>
        <w:rPr>
          <w:rStyle w:val="20"/>
          <w:color w:val="auto"/>
        </w:rPr>
        <w:t>библиографическим каталогам, имеющимся в библиотеке; перечнямстатей, опубликованных в последних за год номерах периодическихэкономических журналах (причем начинать нужно с последнего года, а затемпереходить к более ранним изданиям). Изучение литературы предполагаетвнимательное ознакомление с выбранными источниками, систематизацию и отборнеобходимого теоретического, фактологического и др. материала с обязательнымуказанием «обратного адреса» - полных выходных данных книги, статьи,справочника и т. д. Список использованной литературы. Обычно представленыработы, опубликованные не ранее 5-летнего срока. Это не касается работ,признанных в научном сообществе классическими. Список составляется согласноправилам библиографического описания.</w:t>
      </w:r>
    </w:p>
    <w:p>
      <w:pPr>
        <w:ind w:firstLine="709"/>
        <w:jc w:val="both"/>
        <w:rPr>
          <w:rStyle w:val="20"/>
          <w:color w:val="auto"/>
        </w:rPr>
      </w:pPr>
      <w:r>
        <w:rPr>
          <w:rStyle w:val="21"/>
          <w:color w:val="auto"/>
        </w:rPr>
        <w:t></w:t>
      </w:r>
      <w:r>
        <w:rPr>
          <w:rStyle w:val="21"/>
          <w:color w:val="auto"/>
        </w:rPr>
        <w:sym w:font="Symbol" w:char="F0B7"/>
      </w:r>
      <w:r>
        <w:rPr>
          <w:rStyle w:val="21"/>
          <w:color w:val="auto"/>
        </w:rPr>
        <w:t></w:t>
      </w:r>
      <w:r>
        <w:rPr>
          <w:rStyle w:val="22"/>
          <w:color w:val="auto"/>
        </w:rPr>
        <w:t xml:space="preserve">составление плана и написание работы. </w:t>
      </w:r>
      <w:r>
        <w:rPr>
          <w:rStyle w:val="20"/>
          <w:color w:val="auto"/>
        </w:rPr>
        <w:t xml:space="preserve">План реферата должен способствоватьнаиболее полному и логичному раскрытию выбранной темы. В работе должна бытьчетко выдержана следующая </w:t>
      </w:r>
      <w:r>
        <w:rPr>
          <w:rStyle w:val="23"/>
          <w:color w:val="auto"/>
        </w:rPr>
        <w:t>структура</w:t>
      </w:r>
      <w:r>
        <w:rPr>
          <w:rStyle w:val="20"/>
          <w:color w:val="auto"/>
        </w:rPr>
        <w:t>:</w:t>
      </w:r>
      <w:r>
        <w:rPr>
          <w:rStyle w:val="24"/>
          <w:color w:val="auto"/>
        </w:rPr>
        <w:t></w:t>
      </w:r>
      <w:r>
        <w:rPr>
          <w:rStyle w:val="24"/>
          <w:color w:val="auto"/>
        </w:rPr>
        <w:sym w:font="Wingdings" w:char="F0A7"/>
      </w:r>
      <w:r>
        <w:rPr>
          <w:rStyle w:val="24"/>
          <w:color w:val="auto"/>
        </w:rPr>
        <w:t></w:t>
      </w:r>
      <w:r>
        <w:rPr>
          <w:rStyle w:val="20"/>
          <w:color w:val="auto"/>
        </w:rPr>
        <w:t xml:space="preserve">Ø </w:t>
      </w:r>
      <w:r>
        <w:rPr>
          <w:rStyle w:val="25"/>
        </w:rPr>
        <w:t>введение</w:t>
      </w:r>
      <w:r>
        <w:rPr>
          <w:rStyle w:val="20"/>
          <w:color w:val="auto"/>
        </w:rPr>
        <w:t>, в котором раскрывается актуальность выбранной темы;</w:t>
      </w:r>
      <w:r>
        <w:rPr>
          <w:rStyle w:val="24"/>
          <w:color w:val="auto"/>
        </w:rPr>
        <w:t></w:t>
      </w:r>
      <w:r>
        <w:rPr>
          <w:rStyle w:val="24"/>
          <w:color w:val="auto"/>
        </w:rPr>
        <w:sym w:font="Wingdings" w:char="F0A7"/>
      </w:r>
      <w:r>
        <w:rPr>
          <w:rStyle w:val="24"/>
          <w:color w:val="auto"/>
        </w:rPr>
        <w:t></w:t>
      </w:r>
      <w:r>
        <w:rPr>
          <w:rStyle w:val="20"/>
          <w:color w:val="auto"/>
        </w:rPr>
        <w:t xml:space="preserve">Ø </w:t>
      </w:r>
      <w:r>
        <w:rPr>
          <w:rStyle w:val="25"/>
        </w:rPr>
        <w:t xml:space="preserve">основная часть, </w:t>
      </w:r>
      <w:r>
        <w:rPr>
          <w:rStyle w:val="20"/>
          <w:color w:val="auto"/>
        </w:rPr>
        <w:t>где раскрывается содержание темы. Она можетбыть разделена на 3-4 пункта, исходя из задач и логики рассмотренияпроблемы. План этой части и составляется после ознакомления слитературой;</w:t>
      </w:r>
      <w:r>
        <w:rPr>
          <w:rStyle w:val="24"/>
          <w:color w:val="auto"/>
        </w:rPr>
        <w:t></w:t>
      </w:r>
      <w:r>
        <w:rPr>
          <w:rStyle w:val="24"/>
          <w:color w:val="auto"/>
        </w:rPr>
        <w:sym w:font="Wingdings" w:char="F0A7"/>
      </w:r>
      <w:r>
        <w:rPr>
          <w:rStyle w:val="24"/>
          <w:color w:val="auto"/>
        </w:rPr>
        <w:t></w:t>
      </w:r>
      <w:r>
        <w:rPr>
          <w:rStyle w:val="20"/>
          <w:color w:val="auto"/>
        </w:rPr>
        <w:t xml:space="preserve">Ø </w:t>
      </w:r>
      <w:r>
        <w:rPr>
          <w:rStyle w:val="25"/>
        </w:rPr>
        <w:t xml:space="preserve">заключение, </w:t>
      </w:r>
      <w:r>
        <w:rPr>
          <w:rStyle w:val="20"/>
          <w:color w:val="auto"/>
        </w:rPr>
        <w:t>которое содержит краткие выводы;</w:t>
      </w:r>
      <w:r>
        <w:rPr>
          <w:rStyle w:val="24"/>
          <w:color w:val="auto"/>
        </w:rPr>
        <w:t></w:t>
      </w:r>
      <w:r>
        <w:rPr>
          <w:rStyle w:val="24"/>
          <w:color w:val="auto"/>
        </w:rPr>
        <w:sym w:font="Wingdings" w:char="F0A7"/>
      </w:r>
      <w:r>
        <w:rPr>
          <w:rStyle w:val="24"/>
          <w:color w:val="auto"/>
        </w:rPr>
        <w:t></w:t>
      </w:r>
      <w:r>
        <w:rPr>
          <w:rStyle w:val="20"/>
          <w:color w:val="auto"/>
        </w:rPr>
        <w:t xml:space="preserve">Ø </w:t>
      </w:r>
      <w:r>
        <w:rPr>
          <w:rStyle w:val="25"/>
        </w:rPr>
        <w:t xml:space="preserve">библиография </w:t>
      </w:r>
      <w:r>
        <w:rPr>
          <w:rStyle w:val="20"/>
          <w:color w:val="auto"/>
        </w:rPr>
        <w:t>- список использованной литературы и другихисточников, указанных в алфавитном порядке;Общие требования по оформлению реферата.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1. Объем реферата должен составлять 20-25 страниц машинописного текста.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2. Текст реферата представляется в текстовом редакторе MicrosoftWord безстилистических и грамматических ошибок, в книжной ориентации, через 1,5интервала на листах формата А4 (210х297 мм). Для набора текста рекомендуется использовать шрифты: TimesNewRomanCyr, размер шрифта –14 пт.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3. Поля страницы должны иметь границы: левое – 3 см., правое – 1,5 см., нижнее –2 см., верхнее – 2см. Абзац (красная строка) должен равняться четырем знакам(1,25 см).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4. Каждая структурная часть реферата начинается с новой страницы.Формулы внутри реферата должны иметь сквозную нумерацию и все пояснения используемых в них символов.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5. Иллюстрации, рисунки, чертежи, графики, фотографии, которые приводятся потексту работы, должны иметь нумерацию.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6. Ссылки на литературные источники оформляются в квадратных скобках, где вначале указывается порядковый номер по библиографическому списку, а через запятую номер страницы. Все страницы реферата, кроме титульного листа, нумеруются арабскими цифрами. Номер проставляется вверху в центре страницы.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7. В титульном листе указывается: название университета; название подразделения; название кафедры, название темы и учебной дисциплины, по которой пишется реферат; фамилия, имя, отчество автора реферата; фамилия, имя, отчество, ученая степень и звание руководителя; год. Титульный лист реферата включается в общую нумерацию, но номер страницы на нем не проставляется.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8. В списке использованной литературе в реферате должно быть не менее 10источников. Литература должна быть «свежая», 70% источников должны быть опубликованы не ранее 5-летнего срока.</w:t>
      </w:r>
    </w:p>
    <w:p>
      <w:pPr>
        <w:ind w:firstLine="709"/>
        <w:jc w:val="both"/>
        <w:rPr>
          <w:rStyle w:val="20"/>
        </w:rPr>
      </w:pPr>
      <w:r>
        <w:rPr>
          <w:rStyle w:val="20"/>
        </w:rPr>
        <w:t>9. Все структурные части реферата сшиваются в той же последовательности, какони представлены в структуре. В процессе написания реферата магистрант, при необходимости, консультируется с преподавателями, читающими данную дисциплину. Подготовленный реферат представляется в установленный индивидуальным планом магистранта срок преподавателю, для проверки и допуска к зачету.</w:t>
      </w:r>
    </w:p>
    <w:p>
      <w:pPr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Зачет</w:t>
      </w:r>
      <w:r>
        <w:rPr>
          <w:sz w:val="24"/>
          <w:szCs w:val="24"/>
        </w:rPr>
        <w:t xml:space="preserve"> является основной формой итогового контроля за усвоением обучающимися учебной программы по учебной дисциплине и оценки уровня знаний персонально каждого магистранта. В целях более рациональной и эффективной подготовки к зачету магистрантам выдается перечень выносимых на зачет вопросов. Указанные вопросы могут быть изменены, о чем магистрантам сообщается дополнительно. В основу подготовки к зачету должно быть положено изучение материала по конспектам лекций, рекомендованной научной литературе и нормативным источникам. Лекционных знаний недостаточно для успешной сдачи зачета, так как в лекции дается лишь основа знаний по конкретной теме. Для того чтобы подготовиться к ответу на вопрос, магистрант должен самостоятельно изучить рекомендованную научную литературу и нормативные правовые акты. Зачет проводится в устной форме. В период подготовки к зачету проводится итоговое занятие, целью проведения которого является поведение итогов самостоятельной работы магистрантов, обобщение и закрепление изученного материала. Магистранты имеют возможность получить от преподавателей исчерпывающие ответы на все неясные вопросы. Подготовка к зачету может считаться успешно завершенной, если магистрант может ответить на все вопросы для подготовки к зачету. Кроме того, магистрант должен хорошо владеть основной терминологией учебной дисциплины.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сдаче зачета необходимо учитывать, что при оценивании знаний магистрантов  преподаватель руководствуется, прежде всего, следующими критериями: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правильность ответов на вопросы;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полнота и лаконичность ответа;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умение толковать и применять нормативные акты;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способность правильно квалифицировать факты и обстоятельства, разделять причину и следствия процесса;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способности дачи адекватных выводов и заключений;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ориентирование в нормативно-технической литературе; -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логика и аргументированность изложения; </w:t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культура ответа.  </w:t>
      </w:r>
    </w:p>
    <w:p/>
    <w:p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 Задания для оценивания результатов обучения в виде знаний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Примерные контрольные вопросы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1. Понятие страхования и его экономическая сущность.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2. Исторические аспекты развития страхования в России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3. Организация страхования в зарубежных странах.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4. Участники страховых отношений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5. Объекты страхования: понятие и виды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6. Понятие и классификация страховых рисков в страховании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7. Классификация видов и форм страхования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8. Имущественное 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9. Личное 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10. Суборгация в страховании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11. Обязательное и добровольное 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12. Сострахование и двойное страхование.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13. Перестрахование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14. Состояние страхового рынка России на современном этапе и перспективы его развития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15. Формы проведения страхования: обязательное и добровольное.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16. Особенности организации деятельности страховой компании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17. Законодательные основы страховой деятельности.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18. Государственный надзор и лицензирование страховой деятельности.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19. Личное страхование и его основные виды.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20. Виды страхования жизни и особенности их проведения российскими страховыми компаниями.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21. Страхование от несчастных случаев.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22. Медицинское страхование в России: обязательное и добровольное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23. Социальное страхование и его основные направления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24. Страхование ответственности и его правовые основы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25. Страхование профессиональной ответственности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26. Страхование гражданской ответственности перевозчика.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27. Страхование гражданской ответственности владельцев автотранспортных средств: особенности проведения и перспективы развития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28. Страхование гражданской ответственности предприятий - источников повышенной опасности.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29. Страхование имущества: понятие и направления страхования имущества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30. Добровольное и обязательное страхование имущества.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31. Страховое возмещение и способы его расчетов.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32. Морское 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33. Страхование в сфере туризма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34. Страхование финансовых рисков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35. Страхование предпринимательских рисков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36. Тарифная ставка и ее структура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37. Тарифная политика страховой компании.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38. Финансовые основы страховой деятельности.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39. Страховые фонды и особенности их формирования и использования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40. Резервные фонды страховых организаций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41. Доходы страховой организации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42. Состав расходов страховой организации. Расходы на ведение дела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43. Финансовые результаты страховой деятельности.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44. Инвестиционная деятельность страховых организаций в России и за рубежом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45. Страховые системы зарубежных стран (на примере конкретной страны)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46. Актуарные расчеты в страховании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47. Страховые компании России и особенности их функционирования</w:t>
      </w:r>
    </w:p>
    <w:p>
      <w:pPr>
        <w:rPr>
          <w:sz w:val="28"/>
          <w:szCs w:val="28"/>
        </w:rPr>
      </w:pPr>
    </w:p>
    <w:p>
      <w:pPr>
        <w:ind w:firstLine="708"/>
        <w:rPr>
          <w:sz w:val="24"/>
          <w:szCs w:val="24"/>
        </w:rPr>
      </w:pPr>
      <w:r>
        <w:rPr>
          <w:sz w:val="24"/>
          <w:szCs w:val="24"/>
        </w:rPr>
        <w:t>Уровни и критерии оценки результатов обучения в виде знаний</w:t>
      </w:r>
    </w:p>
    <w:tbl>
      <w:tblPr>
        <w:tblStyle w:val="11"/>
        <w:tblW w:w="95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6237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237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814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При несоответствии содержания ответа, освещаемому вопросу</w:t>
            </w:r>
          </w:p>
        </w:tc>
        <w:tc>
          <w:tcPr>
            <w:tcW w:w="1814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неструктурирован, информация трудна для восприятия</w:t>
            </w:r>
          </w:p>
        </w:tc>
        <w:tc>
          <w:tcPr>
            <w:tcW w:w="1814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неструктурирован, информация трудна для восприятия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неструктурирован, информация трудна для восприятия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Повышенный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неструктурирован и демонстрируется средний уровень участия в дискуссии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5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Высокий</w:t>
            </w:r>
          </w:p>
        </w:tc>
        <w:tc>
          <w:tcPr>
            <w:tcW w:w="6237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814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>
      <w:pPr>
        <w:ind w:firstLine="709"/>
        <w:jc w:val="both"/>
        <w:rPr>
          <w:b/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 Задания для оценивания результатов в виде владений и умений</w:t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Выполнение практических работ</w:t>
      </w:r>
    </w:p>
    <w:p>
      <w:pPr>
        <w:ind w:firstLine="709"/>
        <w:jc w:val="center"/>
        <w:rPr>
          <w:b/>
          <w:bCs/>
          <w:sz w:val="24"/>
          <w:szCs w:val="24"/>
        </w:rPr>
      </w:pPr>
    </w:p>
    <w:p>
      <w:pPr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Типовые задания для практических работ</w:t>
      </w:r>
    </w:p>
    <w:p>
      <w:pPr>
        <w:ind w:firstLine="70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Пример типового задания №1</w:t>
      </w:r>
    </w:p>
    <w:p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Личное страхование и его основные виды</w:t>
      </w:r>
    </w:p>
    <w:p>
      <w:pPr>
        <w:ind w:firstLine="709"/>
        <w:jc w:val="center"/>
        <w:rPr>
          <w:color w:val="000000"/>
          <w:sz w:val="24"/>
          <w:szCs w:val="24"/>
        </w:rPr>
      </w:pPr>
    </w:p>
    <w:p>
      <w:pPr>
        <w:ind w:firstLine="70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Пример типового задания №2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Социальное страхование и его основные направления</w:t>
      </w:r>
    </w:p>
    <w:p>
      <w:pPr>
        <w:ind w:firstLine="708"/>
        <w:rPr>
          <w:sz w:val="24"/>
          <w:szCs w:val="24"/>
        </w:rPr>
      </w:pPr>
    </w:p>
    <w:p>
      <w:pPr>
        <w:ind w:firstLine="708"/>
        <w:rPr>
          <w:sz w:val="24"/>
          <w:szCs w:val="24"/>
        </w:rPr>
      </w:pPr>
      <w:r>
        <w:rPr>
          <w:sz w:val="24"/>
          <w:szCs w:val="24"/>
        </w:rPr>
        <w:t>Уровни и критерии оценки результатов обучения в виде владений и умений</w:t>
      </w:r>
    </w:p>
    <w:tbl>
      <w:tblPr>
        <w:tblStyle w:val="11"/>
        <w:tblW w:w="98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6520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520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838" w:type="dxa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</w:t>
            </w: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</w:t>
            </w: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Повышенный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</w:t>
            </w: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53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Высокий</w:t>
            </w:r>
          </w:p>
        </w:tc>
        <w:tc>
          <w:tcPr>
            <w:tcW w:w="6520" w:type="dxa"/>
          </w:tcPr>
          <w:p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работа выполнена правильно и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      </w:r>
          </w:p>
          <w:p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38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Примерные темы рефератов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1. Страхование ответственности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2. Страхование грузов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3. Страхование гражданской ответственности владельцев транспортных средств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4. Транспортное 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5. Страхование средств наземного транспорта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6. Страхование предпринимательских рисков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7. Страхование грузов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8. Суборгационные требование в страховой деятельности на транспорте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9. Перестрахование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10. Сострахование и двойное страхование</w:t>
      </w:r>
    </w:p>
    <w:p>
      <w:pPr>
        <w:ind w:left="360"/>
        <w:jc w:val="both"/>
        <w:rPr>
          <w:rStyle w:val="20"/>
        </w:rPr>
      </w:pPr>
    </w:p>
    <w:p>
      <w:pPr>
        <w:ind w:left="360"/>
        <w:jc w:val="both"/>
        <w:rPr>
          <w:rStyle w:val="20"/>
        </w:rPr>
      </w:pPr>
      <w:r>
        <w:rPr>
          <w:rStyle w:val="20"/>
        </w:rPr>
        <w:t>Оценка реферата преподавателем осуществляется следующим образом:</w:t>
      </w:r>
    </w:p>
    <w:tbl>
      <w:tblPr>
        <w:tblStyle w:val="11"/>
        <w:tblW w:w="9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650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ind w:left="-142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  <w:p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критерия</w:t>
            </w:r>
          </w:p>
        </w:tc>
        <w:tc>
          <w:tcPr>
            <w:tcW w:w="6500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559" w:type="dxa"/>
          </w:tcPr>
          <w:p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Максимальное количество </w:t>
            </w:r>
          </w:p>
          <w:p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Степень раскрытия сущности проблемы</w:t>
            </w:r>
          </w:p>
        </w:tc>
        <w:tc>
          <w:tcPr>
            <w:tcW w:w="650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соответствие содержания теме реферата; полнота и глубина раскрытия основных понятий; </w:t>
            </w:r>
            <w:r>
              <w:rPr>
                <w:sz w:val="18"/>
                <w:szCs w:val="18"/>
              </w:rPr>
              <w:t>знание и понимание проблемы,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>
              <w:rPr>
                <w:sz w:val="18"/>
                <w:szCs w:val="18"/>
              </w:rPr>
              <w:t>; умение четко и обоснованно формулировать выводы; «трудозатратность» (объем изученной литературы, добросовестное отношение к анализу проблемы); самостоятельность, способность к определению собственной позиции по проблеме и к практической адаптации материала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Ответы на уточняющие вопросы</w:t>
            </w:r>
          </w:p>
        </w:tc>
        <w:tc>
          <w:tcPr>
            <w:tcW w:w="650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Соблюдение требований по оформлению</w:t>
            </w:r>
          </w:p>
        </w:tc>
        <w:tc>
          <w:tcPr>
            <w:tcW w:w="6500" w:type="dxa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 Типовые экзаменационные материалы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Перечень вопросов к зачету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1. Понятие страхования и его экономическая сущность.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2. Исторические аспекты развития страхования в России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3. Организация страхования в зарубежных странах.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4. Участники страховых отношений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5. Объекты страхования: понятие и виды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6. Понятие и классификация страховых рисков в страховании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7. Классификация видов и форм страхования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8. Имущественное 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9. Личное 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10. Суборгация в страховании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11. Обязательное и добровольное 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12. Сострахование и двойное страхование.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13. Перестрахование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14. Состояние страхового рынка России на современном этапе и перспективы его развития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15. Формы проведения страхования: обязательное и добровольное.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16. Особенности организации деятельности страховой компании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17. Законодательные основы страховой деятельности.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18. Государственный надзор и лицензирование страховой деятельности.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19. Личное страхование и его основные виды.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20. Виды страхования жизни и особенности их проведения российскими страховыми компаниями.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21. Страхование от несчастных случаев.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22. Медицинское страхование в России: обязательное и добровольное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23. Социальное страхование и его основные направления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24. Страхование ответственности и его правовые основы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25. Страхование профессиональной ответственности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26. Страхование гражданской ответственности перевозчика.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27. Страхование гражданской ответственности владельцев автотранспортных средств: особенности проведения и перспективы развития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28. Страхование гражданской ответственности предприятий - источников повышенной опасности.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29. Страхование имущества: понятие и направления страхования имущества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30. Добровольное и обязательное страхование имущества.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31. Страховое возмещение и способы его расчетов.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32. Морское страхование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33. Страхование в сфере туризма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34. Страхование финансовых рисков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35. Страхование предпринимательских рисков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36. Тарифная ставка и ее структура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37. Тарифная политика страховой компании.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38. Финансовые основы страховой деятельности.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39. Страховые фонды и особенности их формирования и использования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40. Резервные фонды страховых организаций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41. Доходы страховой организации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42. Состав расходов страховой организации. Расходы на ведение дела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43. Финансовые результаты страховой деятельности.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44. Инвестиционная деятельность страховых организаций в России и за рубежом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45. Страховые системы зарубежных стран (на примере конкретной страны)</w:t>
      </w:r>
    </w:p>
    <w:p>
      <w:pPr>
        <w:rPr>
          <w:sz w:val="24"/>
          <w:szCs w:val="24"/>
        </w:rPr>
      </w:pPr>
      <w:r>
        <w:rPr>
          <w:color w:val="000000"/>
          <w:sz w:val="24"/>
          <w:szCs w:val="24"/>
        </w:rPr>
        <w:t>46. Актуарные расчеты в страховании</w:t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47. Страховые компании России и особенности их функционирования</w:t>
      </w:r>
    </w:p>
    <w:p>
      <w:pPr>
        <w:shd w:val="clear" w:color="auto" w:fill="FFFFFF"/>
        <w:jc w:val="both"/>
        <w:rPr>
          <w:sz w:val="24"/>
          <w:szCs w:val="24"/>
        </w:rPr>
      </w:pPr>
    </w:p>
    <w:p>
      <w:pPr>
        <w:shd w:val="clear" w:color="auto" w:fill="FFFFFF"/>
        <w:jc w:val="both"/>
        <w:rPr>
          <w:sz w:val="24"/>
          <w:szCs w:val="24"/>
        </w:rPr>
      </w:pPr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Пример билета для промежуточного контроля</w:t>
      </w:r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12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</w:tcPr>
          <w:p>
            <w:pPr>
              <w:tabs>
                <w:tab w:val="left" w:pos="2065"/>
              </w:tabs>
              <w:jc w:val="center"/>
              <w:rPr>
                <w:b/>
              </w:rPr>
            </w:pPr>
            <w:r>
              <w:rPr>
                <w:b/>
              </w:rPr>
              <w:t>Пример комплекта задаваемых на зачете вопросов</w:t>
            </w:r>
          </w:p>
          <w:p>
            <w:pPr>
              <w:tabs>
                <w:tab w:val="left" w:pos="2065"/>
              </w:tabs>
              <w:jc w:val="center"/>
              <w:rPr>
                <w:b/>
              </w:rPr>
            </w:pPr>
          </w:p>
          <w:p>
            <w:pPr>
              <w:ind w:left="85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1.Страхование предпринимательских рисков</w:t>
            </w:r>
          </w:p>
          <w:p>
            <w:pPr>
              <w:widowControl w:val="0"/>
              <w:tabs>
                <w:tab w:val="left" w:pos="1199"/>
              </w:tabs>
              <w:autoSpaceDE w:val="0"/>
              <w:autoSpaceDN w:val="0"/>
              <w:ind w:left="851"/>
            </w:pPr>
            <w:r>
              <w:rPr>
                <w:color w:val="000000"/>
                <w:sz w:val="24"/>
                <w:szCs w:val="24"/>
              </w:rPr>
              <w:t>2. Тарифная ставка и ее структура</w:t>
            </w:r>
            <w:r>
              <w:t xml:space="preserve"> </w:t>
            </w:r>
          </w:p>
          <w:p>
            <w:pPr>
              <w:pStyle w:val="3"/>
              <w:ind w:left="851"/>
              <w:rPr>
                <w:sz w:val="20"/>
                <w:szCs w:val="20"/>
              </w:rPr>
            </w:pPr>
          </w:p>
          <w:p>
            <w:pPr>
              <w:pStyle w:val="3"/>
              <w:ind w:left="85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>
            <w:pPr>
              <w:ind w:left="851"/>
            </w:pPr>
            <w:r>
              <w:t xml:space="preserve">«ЭТСИЛ»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>д.т.н., проф. А.А. Короткий</w:t>
            </w:r>
          </w:p>
          <w:p/>
        </w:tc>
      </w:tr>
    </w:tbl>
    <w:p>
      <w:pPr>
        <w:tabs>
          <w:tab w:val="left" w:pos="1423"/>
        </w:tabs>
        <w:sectPr>
          <w:pgSz w:w="11906" w:h="16838"/>
          <w:pgMar w:top="851" w:right="850" w:bottom="1134" w:left="1701" w:header="708" w:footer="708" w:gutter="0"/>
          <w:cols w:space="708" w:num="1"/>
          <w:docGrid w:linePitch="360" w:charSpace="0"/>
        </w:sectPr>
      </w:pPr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Структура оценочных материалов (оценочных средств), позволяющих оценить уровень компетенций, сформированный у обучающихся при изучении дисциплины </w:t>
      </w:r>
      <w:r>
        <w:rPr>
          <w:sz w:val="24"/>
          <w:szCs w:val="24"/>
        </w:rPr>
        <w:t>«</w:t>
      </w:r>
      <w:r>
        <w:rPr>
          <w:color w:val="000000"/>
          <w:sz w:val="24"/>
          <w:szCs w:val="24"/>
        </w:rPr>
        <w:t>Страховое дело на транспорте»</w:t>
      </w:r>
      <w:r>
        <w:rPr>
          <w:rFonts w:eastAsia="Calibri"/>
          <w:sz w:val="24"/>
          <w:szCs w:val="24"/>
          <w:lang w:eastAsia="en-US"/>
        </w:rPr>
        <w:t xml:space="preserve"> приведен в таблице 4.</w:t>
      </w:r>
    </w:p>
    <w:p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Таблица 4 - Оценочные материалы (оценочные средства) по дисциплине </w:t>
      </w:r>
      <w:r>
        <w:rPr>
          <w:sz w:val="24"/>
          <w:szCs w:val="24"/>
        </w:rPr>
        <w:t>«</w:t>
      </w:r>
      <w:r>
        <w:rPr>
          <w:color w:val="000000"/>
          <w:sz w:val="24"/>
          <w:szCs w:val="24"/>
        </w:rPr>
        <w:t>Страховое дело на транспорте»</w:t>
      </w:r>
    </w:p>
    <w:tbl>
      <w:tblPr>
        <w:tblStyle w:val="11"/>
        <w:tblW w:w="14600" w:type="dxa"/>
        <w:tblInd w:w="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10"/>
        <w:gridCol w:w="1417"/>
        <w:gridCol w:w="1342"/>
        <w:gridCol w:w="2127"/>
        <w:gridCol w:w="1559"/>
        <w:gridCol w:w="1417"/>
        <w:gridCol w:w="1384"/>
        <w:gridCol w:w="1276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Знать</w:t>
            </w:r>
          </w:p>
        </w:tc>
        <w:tc>
          <w:tcPr>
            <w:tcW w:w="27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Уметь</w:t>
            </w:r>
          </w:p>
        </w:tc>
        <w:tc>
          <w:tcPr>
            <w:tcW w:w="297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Владеть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текущий контроль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промежуточный контроль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ПК-2.1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Cs/>
                <w:iCs/>
                <w:sz w:val="18"/>
                <w:szCs w:val="18"/>
              </w:rPr>
              <w:t>Отдельные методы планирования управленческой деятельности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Организовывать производственно-управленческую деятельность плохо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28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Отдельными навыками совершенствования производства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tabs>
                <w:tab w:val="center" w:pos="1876"/>
              </w:tabs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Отдельные методы планирования, организации и контроля управленческой деятельности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i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Организовывать производственно-управленческую деятельность недостаточно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17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Отдельными навыками совершенствования производства и внедрения новых техники и технологии в структурных подразделениях организации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Методы планирования, организации и контроля управленческой деятельности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19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Организовывать производственно-управленческую деятельность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Навыками совершенствования производства и внедрения новых техники и технологии в структурных подразделениях организации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ПК-2.2.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tabs>
                <w:tab w:val="center" w:pos="1876"/>
              </w:tabs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Отдельные методы разрешения конфликтных ситуаций недостаточно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Взаимодействовать со структурными подразделениями организации плохо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28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Отдельными навыками эффективность работы структурных подразделений недостаточно продумано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8,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tabs>
                <w:tab w:val="center" w:pos="1876"/>
              </w:tabs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Отдельные методы разрешения конфликтных ситуаций в целом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 недостаточно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11,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17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Отдельными навыками эффективность работы структурных подразделений в целом осознано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tabs>
                <w:tab w:val="center" w:pos="1876"/>
              </w:tabs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Методы разрешения конфликтных ситуаций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19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6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Навыками эффективность работы структурных подразделений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28,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ПК-3.1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pacing w:line="25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методы планирования производственной деятельности недостаточно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28,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3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 плохо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19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эффективность работы структурных подразделений недостаточно продумано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методы планирования производственной деятельности в целом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 недостаточно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эффективность работы структурных подразделений в целом осознано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Методы планирования производственной деятельности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Планировать производственную деятельность структурного подразделения и отдельных работников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эффективность работы структурных подразделений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ПК-3.2.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методы планирования производственной деятельности недостаточно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28,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3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Распределять производственные задания между сотрудниками в соответствии с уровнем их квалификации плохо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15,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19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работы с инновационными проектами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Отдельные методы планирования производственной деятельности в целом осознано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Распределять производственные задания между сотрудниками в соответствии с уровнем их квалификации недостаточно продумано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Отдельными навыками работы с инновационными проектами, используя базовые методы исследовательской деятельности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Методы планирования производственной деятельности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342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6,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9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Распределять производственные задания между сотрудниками в соответствии с уровнем их квалификации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2,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10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Навыками работы с инновационными проектами, используя базовые методы исследовательской деятельности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устный опрос, </w:t>
            </w:r>
            <w:r>
              <w:rPr>
                <w:bCs/>
                <w:sz w:val="18"/>
                <w:szCs w:val="18"/>
              </w:rPr>
              <w:t>практическая работа, реферат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Вопросы промежуточной аттестации:</w:t>
            </w:r>
          </w:p>
          <w:p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вопрос 24,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вопрос 13</w:t>
            </w:r>
          </w:p>
          <w:p>
            <w:pPr>
              <w:rPr>
                <w:color w:val="00000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134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4"/>
        <w:jc w:val="both"/>
      </w:pPr>
      <w:r>
        <w:rPr>
          <w:rStyle w:val="9"/>
        </w:rPr>
        <w:footnoteRef/>
      </w:r>
      <w:r>
        <w:t xml:space="preserve"> Лекционные занятия, практические занятия, лабораторные занятия, самостоятельная работа</w:t>
      </w:r>
    </w:p>
  </w:footnote>
  <w:footnote w:id="1">
    <w:p>
      <w:pPr>
        <w:pStyle w:val="4"/>
        <w:jc w:val="both"/>
      </w:pPr>
      <w:r>
        <w:rPr>
          <w:rStyle w:val="9"/>
        </w:rPr>
        <w:footnoteRef/>
      </w:r>
      <w:r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2">
    <w:p>
      <w:pPr>
        <w:pStyle w:val="4"/>
        <w:jc w:val="both"/>
      </w:pPr>
      <w:r>
        <w:rPr>
          <w:rStyle w:val="9"/>
        </w:rPr>
        <w:footnoteRef/>
      </w:r>
      <w:r>
        <w:t xml:space="preserve"> Указать номера тем в соответствии с рабочей программой дисциплины</w:t>
      </w:r>
    </w:p>
  </w:footnote>
  <w:footnote w:id="3">
    <w:p>
      <w:pPr>
        <w:jc w:val="both"/>
      </w:pPr>
      <w:r>
        <w:rPr>
          <w:rStyle w:val="9"/>
        </w:rPr>
        <w:footnoteRef/>
      </w:r>
      <w:r>
        <w:t xml:space="preserve"> Необходимо выбрать критерий оценивания компетенции: посещаемость занятий; подготовка к практическим занятиям; подготовка к лабораторным занятиям;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  <w:footnote w:id="4">
    <w:p>
      <w:pPr>
        <w:pStyle w:val="4"/>
        <w:jc w:val="both"/>
      </w:pPr>
      <w:r>
        <w:rPr>
          <w:rStyle w:val="9"/>
        </w:rPr>
        <w:footnoteRef/>
      </w:r>
      <w:r>
        <w:t xml:space="preserve"> Вид занятий по дисциплине (лекционные,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>
      <w:pPr>
        <w:pStyle w:val="4"/>
        <w:jc w:val="both"/>
      </w:pPr>
      <w:r>
        <w:t>Распределение баллов по блокам,по каждому виду занятий в рамках дисциплины определяет преподаватель. Распределение баллов по дисциплине утверждается протоколом заседания кафедры.</w:t>
      </w:r>
    </w:p>
    <w:p>
      <w:pPr>
        <w:pStyle w:val="4"/>
        <w:jc w:val="both"/>
      </w:pPr>
      <w:r>
        <w:t xml:space="preserve">По заочной форме обучения мероприятия текущего контроля не предусмотрены.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45665"/>
    <w:multiLevelType w:val="multilevel"/>
    <w:tmpl w:val="7CB45665"/>
    <w:lvl w:ilvl="0" w:tentative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8E39DF"/>
    <w:rsid w:val="00001F70"/>
    <w:rsid w:val="00002235"/>
    <w:rsid w:val="0000230D"/>
    <w:rsid w:val="000479FC"/>
    <w:rsid w:val="0008046E"/>
    <w:rsid w:val="000818DC"/>
    <w:rsid w:val="000A1A77"/>
    <w:rsid w:val="000B7BE9"/>
    <w:rsid w:val="000D077F"/>
    <w:rsid w:val="000D13F0"/>
    <w:rsid w:val="000D4DC2"/>
    <w:rsid w:val="000E1B9D"/>
    <w:rsid w:val="000F51A1"/>
    <w:rsid w:val="000F7D8A"/>
    <w:rsid w:val="00121416"/>
    <w:rsid w:val="00123677"/>
    <w:rsid w:val="00125DA3"/>
    <w:rsid w:val="00147DC1"/>
    <w:rsid w:val="001653F8"/>
    <w:rsid w:val="00167869"/>
    <w:rsid w:val="0017266A"/>
    <w:rsid w:val="00181C47"/>
    <w:rsid w:val="00197BBE"/>
    <w:rsid w:val="001A1E05"/>
    <w:rsid w:val="001C2FE9"/>
    <w:rsid w:val="001C4EFB"/>
    <w:rsid w:val="001D41F1"/>
    <w:rsid w:val="001D7676"/>
    <w:rsid w:val="001F02CB"/>
    <w:rsid w:val="001F612E"/>
    <w:rsid w:val="0020723D"/>
    <w:rsid w:val="00211FA4"/>
    <w:rsid w:val="002259F7"/>
    <w:rsid w:val="00233BF9"/>
    <w:rsid w:val="002739D1"/>
    <w:rsid w:val="0028111B"/>
    <w:rsid w:val="002B76B4"/>
    <w:rsid w:val="002B7F5C"/>
    <w:rsid w:val="002C6341"/>
    <w:rsid w:val="002C7100"/>
    <w:rsid w:val="002F20E0"/>
    <w:rsid w:val="00304ACF"/>
    <w:rsid w:val="003437F3"/>
    <w:rsid w:val="0035114B"/>
    <w:rsid w:val="0035465A"/>
    <w:rsid w:val="00354D97"/>
    <w:rsid w:val="00363C7A"/>
    <w:rsid w:val="00394644"/>
    <w:rsid w:val="003964E3"/>
    <w:rsid w:val="003A2B75"/>
    <w:rsid w:val="003A4318"/>
    <w:rsid w:val="003A4C61"/>
    <w:rsid w:val="003C070F"/>
    <w:rsid w:val="003C65F8"/>
    <w:rsid w:val="003D1CEE"/>
    <w:rsid w:val="003F11C8"/>
    <w:rsid w:val="003F15A5"/>
    <w:rsid w:val="003F1AAB"/>
    <w:rsid w:val="003F1AB7"/>
    <w:rsid w:val="004011C4"/>
    <w:rsid w:val="00413A84"/>
    <w:rsid w:val="00414F46"/>
    <w:rsid w:val="00435BC2"/>
    <w:rsid w:val="004545DE"/>
    <w:rsid w:val="004A648D"/>
    <w:rsid w:val="004F153E"/>
    <w:rsid w:val="00500A4E"/>
    <w:rsid w:val="00523E3E"/>
    <w:rsid w:val="00531584"/>
    <w:rsid w:val="00540421"/>
    <w:rsid w:val="00555390"/>
    <w:rsid w:val="00575AFE"/>
    <w:rsid w:val="005814CE"/>
    <w:rsid w:val="0058726D"/>
    <w:rsid w:val="0058771B"/>
    <w:rsid w:val="005B42F4"/>
    <w:rsid w:val="005D2ADF"/>
    <w:rsid w:val="005D5CCA"/>
    <w:rsid w:val="005F463F"/>
    <w:rsid w:val="005F7D36"/>
    <w:rsid w:val="0060489F"/>
    <w:rsid w:val="00630B54"/>
    <w:rsid w:val="00637AC8"/>
    <w:rsid w:val="006544B8"/>
    <w:rsid w:val="00660597"/>
    <w:rsid w:val="006744B8"/>
    <w:rsid w:val="00677D96"/>
    <w:rsid w:val="0068197F"/>
    <w:rsid w:val="006A76C6"/>
    <w:rsid w:val="006C5F2A"/>
    <w:rsid w:val="0070524C"/>
    <w:rsid w:val="007336FA"/>
    <w:rsid w:val="00747266"/>
    <w:rsid w:val="0074761C"/>
    <w:rsid w:val="007507C4"/>
    <w:rsid w:val="0078070E"/>
    <w:rsid w:val="00791676"/>
    <w:rsid w:val="007A2E62"/>
    <w:rsid w:val="007B519E"/>
    <w:rsid w:val="007C633C"/>
    <w:rsid w:val="007D645E"/>
    <w:rsid w:val="007D75CC"/>
    <w:rsid w:val="007E2F4E"/>
    <w:rsid w:val="007E7BB0"/>
    <w:rsid w:val="007F09D5"/>
    <w:rsid w:val="007F7819"/>
    <w:rsid w:val="008070D6"/>
    <w:rsid w:val="00821B6F"/>
    <w:rsid w:val="00823DA3"/>
    <w:rsid w:val="00825A53"/>
    <w:rsid w:val="00836429"/>
    <w:rsid w:val="00854A76"/>
    <w:rsid w:val="00874F42"/>
    <w:rsid w:val="00880995"/>
    <w:rsid w:val="00881B5D"/>
    <w:rsid w:val="00885446"/>
    <w:rsid w:val="00896697"/>
    <w:rsid w:val="008A2ACB"/>
    <w:rsid w:val="008C0EF8"/>
    <w:rsid w:val="008D3652"/>
    <w:rsid w:val="008E0F8C"/>
    <w:rsid w:val="008E39DF"/>
    <w:rsid w:val="008F0214"/>
    <w:rsid w:val="00901D38"/>
    <w:rsid w:val="0090335D"/>
    <w:rsid w:val="00920DAC"/>
    <w:rsid w:val="009227F6"/>
    <w:rsid w:val="00934BC8"/>
    <w:rsid w:val="009560F3"/>
    <w:rsid w:val="009A1769"/>
    <w:rsid w:val="009E546B"/>
    <w:rsid w:val="00A23856"/>
    <w:rsid w:val="00A33504"/>
    <w:rsid w:val="00A4417F"/>
    <w:rsid w:val="00A95837"/>
    <w:rsid w:val="00AD52B2"/>
    <w:rsid w:val="00AE62CC"/>
    <w:rsid w:val="00AE775E"/>
    <w:rsid w:val="00B24F12"/>
    <w:rsid w:val="00B63C68"/>
    <w:rsid w:val="00B7754A"/>
    <w:rsid w:val="00B81948"/>
    <w:rsid w:val="00B91674"/>
    <w:rsid w:val="00B9470E"/>
    <w:rsid w:val="00BA1E35"/>
    <w:rsid w:val="00BA3AA1"/>
    <w:rsid w:val="00BD4344"/>
    <w:rsid w:val="00BD6EB5"/>
    <w:rsid w:val="00BD72B1"/>
    <w:rsid w:val="00BF081E"/>
    <w:rsid w:val="00BF25B9"/>
    <w:rsid w:val="00C160A5"/>
    <w:rsid w:val="00C363AD"/>
    <w:rsid w:val="00C40B13"/>
    <w:rsid w:val="00C70863"/>
    <w:rsid w:val="00C714D2"/>
    <w:rsid w:val="00C80D91"/>
    <w:rsid w:val="00C82EC9"/>
    <w:rsid w:val="00C9265A"/>
    <w:rsid w:val="00C94D85"/>
    <w:rsid w:val="00CC346C"/>
    <w:rsid w:val="00CC3F5D"/>
    <w:rsid w:val="00CD1450"/>
    <w:rsid w:val="00CF7952"/>
    <w:rsid w:val="00D1098D"/>
    <w:rsid w:val="00D14747"/>
    <w:rsid w:val="00D525D6"/>
    <w:rsid w:val="00D5272D"/>
    <w:rsid w:val="00D83BB4"/>
    <w:rsid w:val="00D859C1"/>
    <w:rsid w:val="00D90569"/>
    <w:rsid w:val="00DA4874"/>
    <w:rsid w:val="00DA65B4"/>
    <w:rsid w:val="00DB6FAF"/>
    <w:rsid w:val="00DE2C3D"/>
    <w:rsid w:val="00DF1FD8"/>
    <w:rsid w:val="00E063BC"/>
    <w:rsid w:val="00E379F3"/>
    <w:rsid w:val="00E61313"/>
    <w:rsid w:val="00E63717"/>
    <w:rsid w:val="00E65D7A"/>
    <w:rsid w:val="00E70013"/>
    <w:rsid w:val="00E73F92"/>
    <w:rsid w:val="00E806B6"/>
    <w:rsid w:val="00EA08E3"/>
    <w:rsid w:val="00EA09DF"/>
    <w:rsid w:val="00EE084C"/>
    <w:rsid w:val="00EE4C40"/>
    <w:rsid w:val="00EE54C2"/>
    <w:rsid w:val="00EF3998"/>
    <w:rsid w:val="00EF6BCE"/>
    <w:rsid w:val="00F173B1"/>
    <w:rsid w:val="00F26968"/>
    <w:rsid w:val="00F33840"/>
    <w:rsid w:val="00F4274B"/>
    <w:rsid w:val="00F64B3F"/>
    <w:rsid w:val="00F9010D"/>
    <w:rsid w:val="00FB3AC4"/>
    <w:rsid w:val="00FD057A"/>
    <w:rsid w:val="00FF198A"/>
    <w:rsid w:val="2D8E70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3">
    <w:name w:val="Body Text Indent 3"/>
    <w:basedOn w:val="1"/>
    <w:link w:val="26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4">
    <w:name w:val="footnote text"/>
    <w:basedOn w:val="1"/>
    <w:link w:val="16"/>
    <w:semiHidden/>
    <w:uiPriority w:val="99"/>
  </w:style>
  <w:style w:type="paragraph" w:styleId="5">
    <w:name w:val="header"/>
    <w:basedOn w:val="1"/>
    <w:link w:val="14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5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Normal (Web)"/>
    <w:basedOn w:val="1"/>
    <w:uiPriority w:val="99"/>
    <w:pPr>
      <w:suppressAutoHyphens/>
      <w:spacing w:before="280" w:after="119"/>
    </w:pPr>
    <w:rPr>
      <w:sz w:val="24"/>
      <w:szCs w:val="24"/>
      <w:lang w:eastAsia="ar-SA"/>
    </w:rPr>
  </w:style>
  <w:style w:type="character" w:styleId="9">
    <w:name w:val="footnote reference"/>
    <w:semiHidden/>
    <w:uiPriority w:val="99"/>
    <w:rPr>
      <w:vertAlign w:val="superscript"/>
    </w:rPr>
  </w:style>
  <w:style w:type="character" w:styleId="10">
    <w:name w:val="Strong"/>
    <w:basedOn w:val="8"/>
    <w:qFormat/>
    <w:uiPriority w:val="22"/>
    <w:rPr>
      <w:b/>
      <w:bCs/>
    </w:rPr>
  </w:style>
  <w:style w:type="table" w:styleId="12">
    <w:name w:val="Table Grid"/>
    <w:basedOn w:val="11"/>
    <w:uiPriority w:val="39"/>
    <w:pPr>
      <w:spacing w:after="0" w:line="240" w:lineRule="auto"/>
    </w:pPr>
    <w:rPr>
      <w:rFonts w:ascii="Times New Roman" w:hAnsi="Times New Roman"/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3">
    <w:name w:val="List Paragraph"/>
    <w:basedOn w:val="1"/>
    <w:qFormat/>
    <w:uiPriority w:val="1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14">
    <w:name w:val="Верхний колонтитул Знак"/>
    <w:basedOn w:val="8"/>
    <w:link w:val="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5">
    <w:name w:val="Нижний колонтитул Знак"/>
    <w:basedOn w:val="8"/>
    <w:link w:val="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6">
    <w:name w:val="Текст сноски Знак"/>
    <w:basedOn w:val="8"/>
    <w:link w:val="4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7">
    <w:name w:val="Обычный1"/>
    <w:uiPriority w:val="0"/>
    <w:pPr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ko-KR" w:bidi="ar-SA"/>
    </w:rPr>
  </w:style>
  <w:style w:type="paragraph" w:customStyle="1" w:styleId="18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9">
    <w:name w:val="Текст выноски Знак"/>
    <w:basedOn w:val="8"/>
    <w:link w:val="2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fontstyle01"/>
    <w:basedOn w:val="8"/>
    <w:uiPriority w:val="0"/>
    <w:rPr>
      <w:rFonts w:hint="default" w:ascii="Times New Roman" w:hAnsi="Times New Roman" w:cs="Times New Roman"/>
      <w:color w:val="000000"/>
      <w:sz w:val="24"/>
      <w:szCs w:val="24"/>
    </w:rPr>
  </w:style>
  <w:style w:type="character" w:customStyle="1" w:styleId="21">
    <w:name w:val="fontstyle21"/>
    <w:basedOn w:val="8"/>
    <w:uiPriority w:val="0"/>
    <w:rPr>
      <w:rFonts w:hint="default" w:ascii="Symbol" w:hAnsi="Symbol"/>
      <w:color w:val="000000"/>
      <w:sz w:val="24"/>
      <w:szCs w:val="24"/>
    </w:rPr>
  </w:style>
  <w:style w:type="character" w:customStyle="1" w:styleId="22">
    <w:name w:val="fontstyle31"/>
    <w:basedOn w:val="8"/>
    <w:uiPriority w:val="0"/>
    <w:rPr>
      <w:rFonts w:hint="default" w:ascii="Times New Roman" w:hAnsi="Times New Roman" w:cs="Times New Roman"/>
      <w:i/>
      <w:iCs/>
      <w:color w:val="000000"/>
      <w:sz w:val="24"/>
      <w:szCs w:val="24"/>
    </w:rPr>
  </w:style>
  <w:style w:type="character" w:customStyle="1" w:styleId="23">
    <w:name w:val="fontstyle41"/>
    <w:basedOn w:val="8"/>
    <w:uiPriority w:val="0"/>
    <w:rPr>
      <w:rFonts w:hint="default" w:ascii="Times New Roman" w:hAnsi="Times New Roman" w:cs="Times New Roman"/>
      <w:b/>
      <w:bCs/>
      <w:color w:val="000000"/>
      <w:sz w:val="24"/>
      <w:szCs w:val="24"/>
    </w:rPr>
  </w:style>
  <w:style w:type="character" w:customStyle="1" w:styleId="24">
    <w:name w:val="fontstyle51"/>
    <w:basedOn w:val="8"/>
    <w:uiPriority w:val="0"/>
    <w:rPr>
      <w:rFonts w:hint="default" w:ascii="Wingdings" w:hAnsi="Wingdings"/>
      <w:color w:val="000000"/>
      <w:sz w:val="24"/>
      <w:szCs w:val="24"/>
    </w:rPr>
  </w:style>
  <w:style w:type="character" w:customStyle="1" w:styleId="25">
    <w:name w:val="fontstyle61"/>
    <w:basedOn w:val="8"/>
    <w:uiPriority w:val="0"/>
    <w:rPr>
      <w:rFonts w:hint="default"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26">
    <w:name w:val="Основной текст с отступом 3 Знак"/>
    <w:basedOn w:val="8"/>
    <w:link w:val="3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08782F-0806-4C97-911D-9C387824A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6970</Words>
  <Characters>39734</Characters>
  <Lines>331</Lines>
  <Paragraphs>93</Paragraphs>
  <TotalTime>69</TotalTime>
  <ScaleCrop>false</ScaleCrop>
  <LinksUpToDate>false</LinksUpToDate>
  <CharactersWithSpaces>46611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2018-11-22T09:02:00Z</dcterms:created>
  <dc:creator>admin</dc:creator>
  <cp:lastModifiedBy>Kingsoft Corporation</cp:lastModifiedBy>
  <cp:lastPrinted>2018-10-25T08:17:00Z</cp:lastPrinted>
  <dcterms:modified xsi:type="dcterms:W3CDTF">2024-10-09T08:44:52Z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